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ind w:firstLine="567"/>
        <w:jc w:val="center"/>
        <w:rPr>
          <w:sz w:val="28"/>
          <w:szCs w:val="28"/>
        </w:rPr>
      </w:pPr>
      <w:r>
        <w:rPr>
          <w:rFonts w:ascii="Times New Roman" w:eastAsia="Times New Roman" w:hAnsi="Times New Roman" w:cs="Times New Roman"/>
          <w:b/>
          <w:bCs/>
          <w:sz w:val="28"/>
          <w:szCs w:val="28"/>
        </w:rPr>
        <w:t>РЕШЕНИЕ</w:t>
      </w:r>
    </w:p>
    <w:p>
      <w:pPr>
        <w:widowControl w:val="0"/>
        <w:spacing w:before="0" w:after="0"/>
        <w:ind w:firstLine="567"/>
        <w:jc w:val="center"/>
        <w:rPr>
          <w:sz w:val="28"/>
          <w:szCs w:val="28"/>
        </w:rPr>
      </w:pPr>
      <w:r>
        <w:rPr>
          <w:rFonts w:ascii="Times New Roman" w:eastAsia="Times New Roman" w:hAnsi="Times New Roman" w:cs="Times New Roman"/>
          <w:b/>
          <w:bCs/>
          <w:sz w:val="28"/>
          <w:szCs w:val="28"/>
        </w:rPr>
        <w:t>ИМЕНЕМ РОССИЙСКОЙ ФЕДЕРАЦИИ</w:t>
      </w:r>
    </w:p>
    <w:p>
      <w:pPr>
        <w:widowControl w:val="0"/>
        <w:spacing w:before="0" w:after="0"/>
        <w:ind w:firstLine="567"/>
        <w:jc w:val="center"/>
        <w:rPr>
          <w:sz w:val="28"/>
          <w:szCs w:val="28"/>
        </w:rPr>
      </w:pPr>
    </w:p>
    <w:p>
      <w:pPr>
        <w:widowControl w:val="0"/>
        <w:spacing w:before="0" w:after="0"/>
        <w:jc w:val="both"/>
        <w:rPr>
          <w:sz w:val="28"/>
          <w:szCs w:val="28"/>
        </w:rPr>
      </w:pPr>
      <w:r>
        <w:rPr>
          <w:rStyle w:val="cat-Addressgrp-0rplc-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2 октября 2026 года </w:t>
      </w:r>
    </w:p>
    <w:p>
      <w:pPr>
        <w:widowControl w:val="0"/>
        <w:spacing w:before="0" w:after="0"/>
        <w:jc w:val="both"/>
        <w:rPr>
          <w:sz w:val="28"/>
          <w:szCs w:val="2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судебного участка №2 Ханты-Мансийского судебного района </w:t>
      </w:r>
      <w:r>
        <w:rPr>
          <w:rStyle w:val="cat-Addressgrp-1rplc-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FIOgrp-9rplc-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рассмотрев в порядке упрощенного произв</w:t>
      </w:r>
      <w:r>
        <w:rPr>
          <w:rFonts w:ascii="Times New Roman" w:eastAsia="Times New Roman" w:hAnsi="Times New Roman" w:cs="Times New Roman"/>
          <w:sz w:val="28"/>
          <w:szCs w:val="28"/>
        </w:rPr>
        <w:t>одства гражданское дело № 2-1607</w:t>
      </w:r>
      <w:r>
        <w:rPr>
          <w:rFonts w:ascii="Times New Roman" w:eastAsia="Times New Roman" w:hAnsi="Times New Roman" w:cs="Times New Roman"/>
          <w:sz w:val="28"/>
          <w:szCs w:val="28"/>
        </w:rPr>
        <w:t xml:space="preserve">-2802/2026 по исковому заявлению ООО СФО Стандарт к </w:t>
      </w:r>
      <w:r>
        <w:rPr>
          <w:rStyle w:val="cat-FIOgrp-10rplc-4"/>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о взыскании задолженности по договору займа, </w:t>
      </w:r>
    </w:p>
    <w:p>
      <w:pPr>
        <w:widowControl w:val="0"/>
        <w:spacing w:before="0" w:after="0"/>
        <w:ind w:firstLine="567"/>
        <w:jc w:val="both"/>
        <w:rPr>
          <w:sz w:val="28"/>
          <w:szCs w:val="28"/>
        </w:rPr>
      </w:pPr>
    </w:p>
    <w:p>
      <w:pPr>
        <w:spacing w:before="0" w:after="0"/>
        <w:jc w:val="center"/>
        <w:rPr>
          <w:sz w:val="28"/>
          <w:szCs w:val="28"/>
        </w:rPr>
      </w:pPr>
      <w:r>
        <w:rPr>
          <w:rFonts w:ascii="Times New Roman" w:eastAsia="Times New Roman" w:hAnsi="Times New Roman" w:cs="Times New Roman"/>
          <w:b/>
          <w:bCs/>
          <w:sz w:val="28"/>
          <w:szCs w:val="28"/>
        </w:rPr>
        <w:t>УСТАНОВИЛ</w:t>
      </w:r>
      <w:r>
        <w:rPr>
          <w:rFonts w:ascii="Times New Roman" w:eastAsia="Times New Roman" w:hAnsi="Times New Roman" w:cs="Times New Roman"/>
          <w:sz w:val="28"/>
          <w:szCs w:val="28"/>
        </w:rPr>
        <w:t>:</w:t>
      </w:r>
    </w:p>
    <w:p>
      <w:pPr>
        <w:spacing w:before="0" w:after="0"/>
        <w:jc w:val="both"/>
        <w:rPr>
          <w:sz w:val="28"/>
          <w:szCs w:val="28"/>
        </w:rPr>
      </w:pPr>
    </w:p>
    <w:p>
      <w:pPr>
        <w:keepNext/>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Истец обратился в суд с иском к ответчику, мотивируя его тем, что 07.02.2024 между ответчиком и 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был заключен договор денежного займа на сумму </w:t>
      </w:r>
      <w:r>
        <w:rPr>
          <w:rStyle w:val="cat-Sumgrp-14rplc-6"/>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 начислением процентов, срок возврата 180 дней. На основании договора уступки права требования №1 от 07.02.2025 право требований перешло к ООО СФО Стандарт. За период с 08.02.2024 по 07.02.2025 ответчик имеет задолженность по договору в размере </w:t>
      </w:r>
      <w:r>
        <w:rPr>
          <w:rStyle w:val="cat-Sumgrp-15rplc-10"/>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Поэтому истец просит взыскать с ответчика в свою пользу проценты по договору в размере </w:t>
      </w:r>
      <w:r>
        <w:rPr>
          <w:rStyle w:val="cat-Sumgrp-15rplc-11"/>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а также расходы по оплате госпошлины в размере </w:t>
      </w:r>
      <w:r>
        <w:rPr>
          <w:rStyle w:val="cat-Sumgrp-16rplc-1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почтовые расходы в размере </w:t>
      </w:r>
      <w:r>
        <w:rPr>
          <w:rStyle w:val="cat-Sumgrp-17rplc-13"/>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Мировыми судьей вынесено определение о принятии искового заявления к производству, о рассмотрении дела в порядке упрощенного производства, в котором установлен срок для представления сторонами в суд, рассматривающий дело, и направления ими друг другу доказательств и возражений относительно предъявленных требований. Копия указанного определения была направлена ответчику. Ответчиком копия определения получена, возражений не поступило.</w:t>
      </w:r>
    </w:p>
    <w:p>
      <w:pPr>
        <w:spacing w:before="0" w:after="0"/>
        <w:ind w:firstLine="567"/>
        <w:jc w:val="both"/>
        <w:rPr>
          <w:sz w:val="28"/>
          <w:szCs w:val="28"/>
        </w:rPr>
      </w:pPr>
      <w:r>
        <w:rPr>
          <w:rFonts w:ascii="Times New Roman" w:eastAsia="Times New Roman" w:hAnsi="Times New Roman" w:cs="Times New Roman"/>
          <w:sz w:val="28"/>
          <w:szCs w:val="28"/>
        </w:rPr>
        <w:t>Изучив и проанализировав материалы дела, суд считает, что заявленные исковые требования не подлежат удовлетворению по следующим основаниям.</w:t>
      </w:r>
    </w:p>
    <w:p>
      <w:pPr>
        <w:spacing w:before="0" w:after="0"/>
        <w:ind w:firstLine="567"/>
        <w:jc w:val="both"/>
        <w:rPr>
          <w:sz w:val="28"/>
          <w:szCs w:val="28"/>
        </w:rPr>
      </w:pPr>
      <w:r>
        <w:rPr>
          <w:rFonts w:ascii="Times New Roman" w:eastAsia="Times New Roman" w:hAnsi="Times New Roman" w:cs="Times New Roman"/>
          <w:sz w:val="28"/>
          <w:szCs w:val="28"/>
        </w:rPr>
        <w:t>В соответствии со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 1 ст. 807 Гражданского кодекса Российской Федерации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w:t>
      </w:r>
    </w:p>
    <w:p>
      <w:pPr>
        <w:spacing w:before="0" w:after="0"/>
        <w:ind w:firstLine="567"/>
        <w:jc w:val="both"/>
        <w:rPr>
          <w:sz w:val="28"/>
          <w:szCs w:val="28"/>
        </w:rPr>
      </w:pPr>
      <w:r>
        <w:rPr>
          <w:rFonts w:ascii="Times New Roman" w:eastAsia="Times New Roman" w:hAnsi="Times New Roman" w:cs="Times New Roman"/>
          <w:sz w:val="28"/>
          <w:szCs w:val="28"/>
        </w:rPr>
        <w:t>Договор займа считается заключенным с момента передачи денег или других вещей.</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 1 ст. 809 Гражданского кодекса Российской Федерации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w:t>
      </w:r>
    </w:p>
    <w:p>
      <w:pPr>
        <w:spacing w:before="0" w:after="0"/>
        <w:ind w:firstLine="567"/>
        <w:jc w:val="both"/>
        <w:rPr>
          <w:sz w:val="28"/>
          <w:szCs w:val="28"/>
        </w:rPr>
      </w:pPr>
      <w:r>
        <w:rPr>
          <w:rFonts w:ascii="Times New Roman" w:eastAsia="Times New Roman" w:hAnsi="Times New Roman" w:cs="Times New Roman"/>
          <w:sz w:val="28"/>
          <w:szCs w:val="28"/>
        </w:rPr>
        <w:t>В силу ч. 1 ст. 810 Гражданского кодекса Российской Федерации заемщик обязан возвратить займодавцу полученную сумму займа в срок и в порядке, которые предусмотрены договором займа.</w:t>
      </w:r>
    </w:p>
    <w:p>
      <w:pPr>
        <w:spacing w:before="0" w:after="0"/>
        <w:ind w:firstLine="567"/>
        <w:jc w:val="both"/>
        <w:rPr>
          <w:sz w:val="28"/>
          <w:szCs w:val="28"/>
        </w:rPr>
      </w:pPr>
      <w:r>
        <w:rPr>
          <w:rFonts w:ascii="Times New Roman" w:eastAsia="Times New Roman" w:hAnsi="Times New Roman" w:cs="Times New Roman"/>
          <w:sz w:val="28"/>
          <w:szCs w:val="28"/>
        </w:rPr>
        <w:t>В соответствии со ст. 56 Гражданского процессуального кодекса Российской Федерации, содержание которой следует рассматривать в контексте п. 3 ст. 123 Конституции Российской Федерации и ст. 12 Гражданского процессуального кодекса Российской Федерации,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before="0" w:after="0"/>
        <w:ind w:firstLine="567"/>
        <w:jc w:val="both"/>
        <w:rPr>
          <w:sz w:val="28"/>
          <w:szCs w:val="28"/>
        </w:rPr>
      </w:pPr>
      <w:r>
        <w:rPr>
          <w:rFonts w:ascii="Times New Roman" w:eastAsia="Times New Roman" w:hAnsi="Times New Roman" w:cs="Times New Roman"/>
          <w:sz w:val="28"/>
          <w:szCs w:val="28"/>
        </w:rPr>
        <w:t xml:space="preserve">Согласно </w:t>
      </w:r>
      <w:hyperlink r:id="rId4" w:anchor="/document/12128809/entry/60" w:history="1">
        <w:r>
          <w:rPr>
            <w:rFonts w:ascii="Times New Roman" w:eastAsia="Times New Roman" w:hAnsi="Times New Roman" w:cs="Times New Roman"/>
            <w:color w:val="0000EE"/>
            <w:sz w:val="28"/>
            <w:szCs w:val="28"/>
          </w:rPr>
          <w:t>ст.60</w:t>
        </w:r>
      </w:hyperlink>
      <w:r>
        <w:rPr>
          <w:rFonts w:ascii="Times New Roman" w:eastAsia="Times New Roman" w:hAnsi="Times New Roman" w:cs="Times New Roman"/>
          <w:sz w:val="28"/>
          <w:szCs w:val="28"/>
        </w:rPr>
        <w:t xml:space="preserve"> ГПК РФ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w:t>
      </w:r>
      <w:hyperlink r:id="rId4" w:anchor="/document/12128809/entry/5601" w:history="1">
        <w:r>
          <w:rPr>
            <w:rFonts w:ascii="Times New Roman" w:eastAsia="Times New Roman" w:hAnsi="Times New Roman" w:cs="Times New Roman"/>
            <w:color w:val="0000EE"/>
            <w:sz w:val="28"/>
            <w:szCs w:val="28"/>
          </w:rPr>
          <w:t>ч.1 ст.56</w:t>
        </w:r>
      </w:hyperlink>
      <w:r>
        <w:rPr>
          <w:rFonts w:ascii="Times New Roman" w:eastAsia="Times New Roman" w:hAnsi="Times New Roman" w:cs="Times New Roman"/>
          <w:sz w:val="28"/>
          <w:szCs w:val="28"/>
        </w:rPr>
        <w:t xml:space="preserve"> ГПК РФ каждая сторона, лицо, участвующие в деле, должны доказать те обстоятельства, на которые они ссылаются как на основания своих требований и возражений, если иное не предусмотрено федеральным законом.</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судебном заседании установлено, что 07.02.2024 между </w:t>
      </w:r>
      <w:r>
        <w:rPr>
          <w:rFonts w:ascii="Times New Roman" w:eastAsia="Times New Roman" w:hAnsi="Times New Roman" w:cs="Times New Roman"/>
          <w:sz w:val="28"/>
          <w:szCs w:val="28"/>
        </w:rPr>
        <w:t xml:space="preserve">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и </w:t>
      </w:r>
      <w:r>
        <w:rPr>
          <w:rStyle w:val="cat-FIOgrp-11rplc-1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за</w:t>
      </w:r>
      <w:r>
        <w:rPr>
          <w:rFonts w:ascii="Times New Roman" w:eastAsia="Times New Roman" w:hAnsi="Times New Roman" w:cs="Times New Roman"/>
          <w:sz w:val="28"/>
          <w:szCs w:val="28"/>
        </w:rPr>
        <w:t>кончен договор займа №28374831-2</w:t>
      </w:r>
      <w:r>
        <w:rPr>
          <w:rFonts w:ascii="Times New Roman" w:eastAsia="Times New Roman" w:hAnsi="Times New Roman" w:cs="Times New Roman"/>
          <w:sz w:val="28"/>
          <w:szCs w:val="28"/>
        </w:rPr>
        <w:t xml:space="preserve">, согласно которым заемщиком выступает ответчик. Ответчику предоставлен </w:t>
      </w:r>
      <w:r>
        <w:rPr>
          <w:rFonts w:ascii="Times New Roman" w:eastAsia="Times New Roman" w:hAnsi="Times New Roman" w:cs="Times New Roman"/>
          <w:sz w:val="28"/>
          <w:szCs w:val="28"/>
        </w:rPr>
        <w:t>займ</w:t>
      </w:r>
      <w:r>
        <w:rPr>
          <w:rFonts w:ascii="Times New Roman" w:eastAsia="Times New Roman" w:hAnsi="Times New Roman" w:cs="Times New Roman"/>
          <w:sz w:val="28"/>
          <w:szCs w:val="28"/>
        </w:rPr>
        <w:t xml:space="preserve"> на сумму </w:t>
      </w:r>
      <w:r>
        <w:rPr>
          <w:rStyle w:val="cat-Sumgrp-14rplc-16"/>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 начислением процентов, в размере 292 % годовых, ответчик обязан вернуть денежный </w:t>
      </w:r>
      <w:r>
        <w:rPr>
          <w:rFonts w:ascii="Times New Roman" w:eastAsia="Times New Roman" w:hAnsi="Times New Roman" w:cs="Times New Roman"/>
          <w:sz w:val="28"/>
          <w:szCs w:val="28"/>
        </w:rPr>
        <w:t>займ</w:t>
      </w:r>
      <w:r>
        <w:rPr>
          <w:rFonts w:ascii="Times New Roman" w:eastAsia="Times New Roman" w:hAnsi="Times New Roman" w:cs="Times New Roman"/>
          <w:sz w:val="28"/>
          <w:szCs w:val="28"/>
        </w:rPr>
        <w:t xml:space="preserve"> с процентами, срок возврата 180 дней. </w:t>
      </w:r>
    </w:p>
    <w:p>
      <w:pPr>
        <w:spacing w:before="0" w:after="0"/>
        <w:ind w:firstLine="567"/>
        <w:jc w:val="both"/>
        <w:rPr>
          <w:sz w:val="28"/>
          <w:szCs w:val="28"/>
        </w:rPr>
      </w:pPr>
      <w:r>
        <w:rPr>
          <w:rFonts w:ascii="Times New Roman" w:eastAsia="Times New Roman" w:hAnsi="Times New Roman" w:cs="Times New Roman"/>
          <w:sz w:val="28"/>
          <w:szCs w:val="28"/>
        </w:rPr>
        <w:t xml:space="preserve">Между 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и ООО СФО Стандарт заключен договор уступки права требования №1 от 07.02.2025, в соответствии с которым права по долгу </w:t>
      </w:r>
      <w:r>
        <w:rPr>
          <w:rStyle w:val="cat-FIOgrp-12rplc-18"/>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переходит к ООО СФО Стандарт.</w:t>
      </w:r>
    </w:p>
    <w:p>
      <w:pPr>
        <w:spacing w:before="0" w:after="0"/>
        <w:ind w:firstLine="567"/>
        <w:jc w:val="both"/>
        <w:rPr>
          <w:sz w:val="28"/>
          <w:szCs w:val="28"/>
        </w:rPr>
      </w:pPr>
      <w:r>
        <w:rPr>
          <w:rFonts w:ascii="Times New Roman" w:eastAsia="Times New Roman" w:hAnsi="Times New Roman" w:cs="Times New Roman"/>
          <w:sz w:val="28"/>
          <w:szCs w:val="28"/>
        </w:rPr>
        <w:t>В силу ч. 1 ст. 12 Федерального закона от 21 декабря 2013 г. N 353-ФЗ "О потребительском кредитовании" кредитор вправе осуществлять уступку прав (требований) по договору потребительского кредита (займа)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заемщика, полученном кредитором после возникновения у заемщика просроченной задолженности по договору потребительского кредита (займа), если запрет на осуществление уступки не предусмотрен федеральным законом или договором, содержащим условие о запрете уступки, согласованное при его заключении в порядке, установленном настоящим Федеральным законом. При этом заемщик сохраняет в отношении нового кредитора все права, предоставленные ему в отношении первоначального кредитора в соответствии с федеральными законами.</w:t>
      </w:r>
    </w:p>
    <w:p>
      <w:pPr>
        <w:spacing w:before="0" w:after="0"/>
        <w:ind w:firstLine="708"/>
        <w:jc w:val="both"/>
        <w:rPr>
          <w:sz w:val="28"/>
          <w:szCs w:val="28"/>
        </w:rPr>
      </w:pPr>
      <w:r>
        <w:rPr>
          <w:rFonts w:ascii="Times New Roman" w:eastAsia="Times New Roman" w:hAnsi="Times New Roman" w:cs="Times New Roman"/>
          <w:sz w:val="28"/>
          <w:szCs w:val="28"/>
        </w:rPr>
        <w:t>В соответствии с ч. 5 ст. 13 Федерального закона от 21 декабря 2013 г. N353-ФЗ "О потребительском кредитовании" юридические и физические лица не вправе требовать исполнения заемщиком обязательств по договору потребительского кредита (займа) в случае, если на момент его заключения первоначальный кредитор не являлся юридическим лицом, осуществляющим профессиональную деятельность по предоставлению потребительских займов, а на момент уступки прав (требований) по договору потребительского кредита (займа) новый кредитор не являлся юридическим лицом, осуществляющим профессиональную деятельность по предоставлению потребительских займов, юридическим лицом, осуществляющим деятельность по возврату просроченной задолженности физических лиц в качестве основного вида деятельности, специализированным финансовым обществом или физическим лицом, указанным в письменном согласии заемщика, предусмотренном ч. 1 ст.12 настоящего Федерального закона.</w:t>
      </w:r>
    </w:p>
    <w:p>
      <w:pPr>
        <w:spacing w:before="0" w:after="0"/>
        <w:ind w:firstLine="567"/>
        <w:jc w:val="both"/>
        <w:rPr>
          <w:sz w:val="28"/>
          <w:szCs w:val="28"/>
        </w:rPr>
      </w:pPr>
      <w:r>
        <w:rPr>
          <w:rFonts w:ascii="Times New Roman" w:eastAsia="Times New Roman" w:hAnsi="Times New Roman" w:cs="Times New Roman"/>
          <w:sz w:val="28"/>
          <w:szCs w:val="28"/>
        </w:rPr>
        <w:t>Согласно разъяснениям, указанным в п. 9 постановления Пленума Верховного Суда Российской Федерации от 21 декабря 2017 г. N 54 "О некоторых вопросах применения положений главы 24 Гражданского кодекса Российской Федерации о перемене лиц в обязательстве на основании сделки", уступка права, совершенная в нарушение законодательного запрета, является недействительной в силу ничтожности, а соответственно не влекущей каких-либо последствий, за исключением тех, которые связаны с ее недействительностью (п. 2 ст. 167 ГК РФ), следовательно, при рассмотрении требований о взыскании задолженности по договорам потребительского займа (кредита), основанных на договоре цессии, следует устанавливать, относился ли цессионарий на момент заключения договора цессии к тем лицам, что указаны в приведенных положениях закона.</w:t>
      </w:r>
    </w:p>
    <w:p>
      <w:pPr>
        <w:widowControl w:val="0"/>
        <w:spacing w:before="0" w:after="0"/>
        <w:ind w:firstLine="708"/>
        <w:jc w:val="both"/>
        <w:rPr>
          <w:sz w:val="28"/>
          <w:szCs w:val="28"/>
        </w:rPr>
      </w:pPr>
      <w:r>
        <w:rPr>
          <w:rFonts w:ascii="Times New Roman" w:eastAsia="Times New Roman" w:hAnsi="Times New Roman" w:cs="Times New Roman"/>
          <w:sz w:val="28"/>
          <w:szCs w:val="28"/>
        </w:rPr>
        <w:t xml:space="preserve">Как следует из искового заявления и приложенных к нему документов, ООО СФО Стандарт в качестве основной либо дополнительной деятельности не имеет право осуществлять деятельность по предоставлению потребительских займов (кредитов), а также деятельность агентств по сбору платежей, в том числе услуги по взысканию долгов, следовательно, договор уступки прав требований от 07.02.2025, в соответствии с которым кредитор уступил истцу права требования по договору займа от 07.02.2024, является недействительным в силу ничтожности. </w:t>
      </w:r>
    </w:p>
    <w:p>
      <w:pPr>
        <w:spacing w:before="0" w:after="0"/>
        <w:ind w:firstLine="567"/>
        <w:jc w:val="both"/>
        <w:rPr>
          <w:sz w:val="28"/>
          <w:szCs w:val="28"/>
        </w:rPr>
      </w:pPr>
      <w:r>
        <w:rPr>
          <w:rFonts w:ascii="Times New Roman" w:eastAsia="Times New Roman" w:hAnsi="Times New Roman" w:cs="Times New Roman"/>
          <w:sz w:val="28"/>
          <w:szCs w:val="28"/>
        </w:rPr>
        <w:t>В связи с чем заявленные требования о взыскании задолженнос</w:t>
      </w:r>
      <w:r>
        <w:rPr>
          <w:rFonts w:ascii="Times New Roman" w:eastAsia="Times New Roman" w:hAnsi="Times New Roman" w:cs="Times New Roman"/>
          <w:sz w:val="28"/>
          <w:szCs w:val="28"/>
        </w:rPr>
        <w:t>ти по договору займа №28374831-2</w:t>
      </w:r>
      <w:r>
        <w:rPr>
          <w:rFonts w:ascii="Times New Roman" w:eastAsia="Times New Roman" w:hAnsi="Times New Roman" w:cs="Times New Roman"/>
          <w:sz w:val="28"/>
          <w:szCs w:val="28"/>
        </w:rPr>
        <w:t xml:space="preserve"> от 07.02.2024 с должника </w:t>
      </w:r>
      <w:r>
        <w:rPr>
          <w:rStyle w:val="cat-FIOgrp-12rplc-25"/>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удовлетворению не подлежат. </w:t>
      </w:r>
    </w:p>
    <w:p>
      <w:pPr>
        <w:spacing w:before="0" w:after="0"/>
        <w:ind w:firstLine="567"/>
        <w:jc w:val="both"/>
        <w:rPr>
          <w:sz w:val="28"/>
          <w:szCs w:val="28"/>
        </w:rPr>
      </w:pPr>
      <w:r>
        <w:rPr>
          <w:rFonts w:ascii="Times New Roman" w:eastAsia="Times New Roman" w:hAnsi="Times New Roman" w:cs="Times New Roman"/>
          <w:sz w:val="28"/>
          <w:szCs w:val="28"/>
        </w:rPr>
        <w:t>В связи с необоснованностью материально-правовых требований истца и принятием решения в пользу ответчика, не подлежат взысканию и судебные расходы, понесенные истцом в связи с рассмотрением дела.</w:t>
      </w:r>
    </w:p>
    <w:p>
      <w:pPr>
        <w:spacing w:before="0" w:after="0"/>
        <w:ind w:firstLine="567"/>
        <w:jc w:val="both"/>
        <w:rPr>
          <w:sz w:val="28"/>
          <w:szCs w:val="28"/>
        </w:rPr>
      </w:pPr>
      <w:r>
        <w:rPr>
          <w:rFonts w:ascii="Times New Roman" w:eastAsia="Times New Roman" w:hAnsi="Times New Roman" w:cs="Times New Roman"/>
          <w:sz w:val="28"/>
          <w:szCs w:val="28"/>
        </w:rPr>
        <w:t>На основании изложенного, руководствуясь ст. ст. 98-101, 194-199 ГПК РФ, мировой судья</w:t>
      </w:r>
    </w:p>
    <w:p>
      <w:pPr>
        <w:widowControl w:val="0"/>
        <w:spacing w:before="0" w:after="0"/>
        <w:ind w:firstLine="567"/>
        <w:jc w:val="center"/>
        <w:rPr>
          <w:sz w:val="28"/>
          <w:szCs w:val="28"/>
        </w:rPr>
      </w:pPr>
    </w:p>
    <w:p>
      <w:pPr>
        <w:widowControl w:val="0"/>
        <w:spacing w:before="0" w:after="0"/>
        <w:ind w:firstLine="567"/>
        <w:jc w:val="center"/>
        <w:rPr>
          <w:sz w:val="28"/>
          <w:szCs w:val="28"/>
        </w:rPr>
      </w:pPr>
      <w:r>
        <w:rPr>
          <w:rFonts w:ascii="Times New Roman" w:eastAsia="Times New Roman" w:hAnsi="Times New Roman" w:cs="Times New Roman"/>
          <w:b/>
          <w:bCs/>
          <w:sz w:val="28"/>
          <w:szCs w:val="28"/>
        </w:rPr>
        <w:t>РЕШИЛ</w:t>
      </w:r>
      <w:r>
        <w:rPr>
          <w:rFonts w:ascii="Times New Roman" w:eastAsia="Times New Roman" w:hAnsi="Times New Roman" w:cs="Times New Roman"/>
          <w:sz w:val="28"/>
          <w:szCs w:val="28"/>
        </w:rPr>
        <w:t>:</w:t>
      </w:r>
    </w:p>
    <w:p>
      <w:pPr>
        <w:widowControl w:val="0"/>
        <w:spacing w:before="0" w:after="0"/>
        <w:ind w:firstLine="567"/>
        <w:jc w:val="both"/>
        <w:rPr>
          <w:sz w:val="28"/>
          <w:szCs w:val="28"/>
        </w:rPr>
      </w:pPr>
    </w:p>
    <w:p>
      <w:pPr>
        <w:widowControl w:val="0"/>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Исковые требования ООО СФО Стандарт к Гончарову </w:t>
      </w:r>
      <w:r>
        <w:rPr>
          <w:rStyle w:val="cat-UserDefinedgrp-18rplc-2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взыскании задолженности по договору займа оставить без удовлетворения.</w:t>
      </w:r>
    </w:p>
    <w:p>
      <w:pPr>
        <w:spacing w:before="0" w:after="0"/>
        <w:ind w:firstLine="567"/>
        <w:jc w:val="both"/>
        <w:rPr>
          <w:sz w:val="28"/>
          <w:szCs w:val="28"/>
        </w:rPr>
      </w:pPr>
      <w:r>
        <w:rPr>
          <w:rFonts w:ascii="Times New Roman" w:eastAsia="Times New Roman" w:hAnsi="Times New Roman" w:cs="Times New Roman"/>
          <w:sz w:val="28"/>
          <w:szCs w:val="28"/>
        </w:rPr>
        <w:t xml:space="preserve">Решение по результатам рассмотрения дела в порядке упрощенного производства может быть обжаловано в Ханты-Мансийский районный суд Ханты-Мансийского автономного округа-Югры </w:t>
      </w:r>
      <w:r>
        <w:rPr>
          <w:rFonts w:ascii="Times New Roman" w:eastAsia="Times New Roman" w:hAnsi="Times New Roman" w:cs="Times New Roman"/>
          <w:sz w:val="28"/>
          <w:szCs w:val="28"/>
        </w:rPr>
        <w:t>через мирового судью</w:t>
      </w:r>
      <w:r>
        <w:rPr>
          <w:rFonts w:ascii="Times New Roman" w:eastAsia="Times New Roman" w:hAnsi="Times New Roman" w:cs="Times New Roman"/>
          <w:sz w:val="28"/>
          <w:szCs w:val="28"/>
        </w:rPr>
        <w:t xml:space="preserve"> судебного участка №2 Ханты-Мансийского судебного </w:t>
      </w:r>
      <w:r>
        <w:rPr>
          <w:rStyle w:val="cat-Addressgrp-2rplc-28"/>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автономного округа-Югры в течение 15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w:t>
      </w:r>
    </w:p>
    <w:p>
      <w:pPr>
        <w:spacing w:before="0" w:after="0"/>
        <w:ind w:firstLine="567"/>
        <w:jc w:val="both"/>
        <w:rPr>
          <w:sz w:val="28"/>
          <w:szCs w:val="28"/>
        </w:rPr>
      </w:pPr>
      <w:r>
        <w:rPr>
          <w:rFonts w:ascii="Times New Roman" w:eastAsia="Times New Roman" w:hAnsi="Times New Roman" w:cs="Times New Roman"/>
          <w:sz w:val="28"/>
          <w:szCs w:val="28"/>
        </w:rPr>
        <w:t>Разъяснить сторонам положения ч.ч.2,3,4,5 ст.232.4 Гражданского процессуального кодекса Российской Федерации по заявлению лиц, участвующих в деле, их представителей или в случае подачи апелляционной жалобы, представления по делу, рассматриваемому в порядке упрощенного производства, суд составляет мотивированное решение.</w:t>
      </w:r>
    </w:p>
    <w:p>
      <w:pPr>
        <w:spacing w:before="0" w:after="0"/>
        <w:ind w:firstLine="567"/>
        <w:jc w:val="both"/>
        <w:rPr>
          <w:sz w:val="28"/>
          <w:szCs w:val="28"/>
        </w:rPr>
      </w:pPr>
      <w:r>
        <w:rPr>
          <w:rFonts w:ascii="Times New Roman" w:eastAsia="Times New Roman" w:hAnsi="Times New Roman" w:cs="Times New Roman"/>
          <w:sz w:val="28"/>
          <w:szCs w:val="28"/>
        </w:rPr>
        <w:t>Заявление о составлении мотивированного решения суда может быть подано в течение пяти дней со дня подписания резолютивной части решения суда по делу, рассмотренному в порядке упрощенного производства.</w:t>
      </w:r>
    </w:p>
    <w:p>
      <w:pPr>
        <w:spacing w:before="0" w:after="0"/>
        <w:ind w:firstLine="567"/>
        <w:jc w:val="both"/>
        <w:rPr>
          <w:sz w:val="28"/>
          <w:szCs w:val="28"/>
        </w:rPr>
      </w:pPr>
      <w:r>
        <w:rPr>
          <w:rFonts w:ascii="Times New Roman" w:eastAsia="Times New Roman" w:hAnsi="Times New Roman" w:cs="Times New Roman"/>
          <w:sz w:val="28"/>
          <w:szCs w:val="28"/>
        </w:rPr>
        <w:t>Мотивированное решение суда изготавливается в течение десяти дней со дня поступления от лица, участвующего в деле, его представителя соответствующего заявления или со дня подачи апелляционной жалобы.</w:t>
      </w:r>
    </w:p>
    <w:p>
      <w:pPr>
        <w:spacing w:before="0" w:after="0"/>
        <w:ind w:firstLine="567"/>
        <w:jc w:val="both"/>
        <w:rPr>
          <w:sz w:val="28"/>
          <w:szCs w:val="28"/>
        </w:rPr>
      </w:pPr>
      <w:r>
        <w:rPr>
          <w:rFonts w:ascii="Times New Roman" w:eastAsia="Times New Roman" w:hAnsi="Times New Roman" w:cs="Times New Roman"/>
          <w:sz w:val="28"/>
          <w:szCs w:val="28"/>
        </w:rPr>
        <w:t xml:space="preserve">Решение суда по делу, рассмотренному в порядке упрощенного производства, вступает в законную силу по истечении пятнадцати дней со дня его принятия, если не поданы апелляционные жалоба, представление. </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Мотивированное решение изготовлено 2 октября 2026 года. </w:t>
      </w:r>
    </w:p>
    <w:p>
      <w:pPr>
        <w:spacing w:before="0" w:after="0"/>
        <w:ind w:firstLine="567"/>
        <w:jc w:val="both"/>
        <w:rPr>
          <w:sz w:val="28"/>
          <w:szCs w:val="28"/>
        </w:rPr>
      </w:pPr>
      <w:r>
        <w:rPr>
          <w:rFonts w:ascii="Times New Roman" w:eastAsia="Times New Roman" w:hAnsi="Times New Roman" w:cs="Times New Roman"/>
          <w:sz w:val="28"/>
          <w:szCs w:val="28"/>
        </w:rPr>
        <w:t xml:space="preserve">. </w:t>
      </w:r>
    </w:p>
    <w:p>
      <w:pPr>
        <w:widowControl w:val="0"/>
        <w:spacing w:before="0" w:after="0" w:line="269" w:lineRule="atLeast"/>
        <w:ind w:right="24"/>
        <w:jc w:val="both"/>
      </w:pPr>
    </w:p>
    <w:p>
      <w:pPr>
        <w:widowControl w:val="0"/>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3rplc-30"/>
          <w:rFonts w:ascii="Times New Roman" w:eastAsia="Times New Roman" w:hAnsi="Times New Roman" w:cs="Times New Roman"/>
          <w:sz w:val="28"/>
          <w:szCs w:val="28"/>
        </w:rPr>
        <w:t>фио</w:t>
      </w:r>
    </w:p>
    <w:p>
      <w:pPr>
        <w:widowControl w:val="0"/>
        <w:spacing w:before="0" w:after="0"/>
        <w:jc w:val="both"/>
        <w:rPr>
          <w:sz w:val="28"/>
          <w:szCs w:val="28"/>
        </w:rPr>
      </w:pPr>
      <w:r>
        <w:rPr>
          <w:rFonts w:ascii="Times New Roman" w:eastAsia="Times New Roman" w:hAnsi="Times New Roman" w:cs="Times New Roman"/>
          <w:sz w:val="28"/>
          <w:szCs w:val="28"/>
        </w:rPr>
        <w:t>Копия верна.</w:t>
      </w:r>
    </w:p>
    <w:p>
      <w:pPr>
        <w:widowControl w:val="0"/>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3rplc-31"/>
          <w:rFonts w:ascii="Times New Roman" w:eastAsia="Times New Roman" w:hAnsi="Times New Roman" w:cs="Times New Roman"/>
          <w:sz w:val="28"/>
          <w:szCs w:val="28"/>
        </w:rPr>
        <w:t>фио</w:t>
      </w:r>
    </w:p>
    <w:p>
      <w:pPr>
        <w:widowControl w:val="0"/>
        <w:spacing w:before="0" w:after="0"/>
        <w:rPr>
          <w:sz w:val="20"/>
          <w:szCs w:val="20"/>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Addressgrp-1rplc-2">
    <w:name w:val="cat-Address grp-1 rplc-2"/>
    <w:basedOn w:val="DefaultParagraphFont"/>
  </w:style>
  <w:style w:type="character" w:customStyle="1" w:styleId="cat-FIOgrp-9rplc-3">
    <w:name w:val="cat-FIO grp-9 rplc-3"/>
    <w:basedOn w:val="DefaultParagraphFont"/>
  </w:style>
  <w:style w:type="character" w:customStyle="1" w:styleId="cat-FIOgrp-10rplc-4">
    <w:name w:val="cat-FIO grp-10 rplc-4"/>
    <w:basedOn w:val="DefaultParagraphFont"/>
  </w:style>
  <w:style w:type="character" w:customStyle="1" w:styleId="cat-Sumgrp-14rplc-6">
    <w:name w:val="cat-Sum grp-14 rplc-6"/>
    <w:basedOn w:val="DefaultParagraphFont"/>
  </w:style>
  <w:style w:type="character" w:customStyle="1" w:styleId="cat-Sumgrp-15rplc-10">
    <w:name w:val="cat-Sum grp-15 rplc-10"/>
    <w:basedOn w:val="DefaultParagraphFont"/>
  </w:style>
  <w:style w:type="character" w:customStyle="1" w:styleId="cat-Sumgrp-15rplc-11">
    <w:name w:val="cat-Sum grp-15 rplc-11"/>
    <w:basedOn w:val="DefaultParagraphFont"/>
  </w:style>
  <w:style w:type="character" w:customStyle="1" w:styleId="cat-Sumgrp-16rplc-12">
    <w:name w:val="cat-Sum grp-16 rplc-12"/>
    <w:basedOn w:val="DefaultParagraphFont"/>
  </w:style>
  <w:style w:type="character" w:customStyle="1" w:styleId="cat-Sumgrp-17rplc-13">
    <w:name w:val="cat-Sum grp-17 rplc-13"/>
    <w:basedOn w:val="DefaultParagraphFont"/>
  </w:style>
  <w:style w:type="character" w:customStyle="1" w:styleId="cat-FIOgrp-11rplc-15">
    <w:name w:val="cat-FIO grp-11 rplc-15"/>
    <w:basedOn w:val="DefaultParagraphFont"/>
  </w:style>
  <w:style w:type="character" w:customStyle="1" w:styleId="cat-Sumgrp-14rplc-16">
    <w:name w:val="cat-Sum grp-14 rplc-16"/>
    <w:basedOn w:val="DefaultParagraphFont"/>
  </w:style>
  <w:style w:type="character" w:customStyle="1" w:styleId="cat-FIOgrp-12rplc-18">
    <w:name w:val="cat-FIO grp-12 rplc-18"/>
    <w:basedOn w:val="DefaultParagraphFont"/>
  </w:style>
  <w:style w:type="character" w:customStyle="1" w:styleId="cat-FIOgrp-12rplc-25">
    <w:name w:val="cat-FIO grp-12 rplc-25"/>
    <w:basedOn w:val="DefaultParagraphFont"/>
  </w:style>
  <w:style w:type="character" w:customStyle="1" w:styleId="cat-UserDefinedgrp-18rplc-27">
    <w:name w:val="cat-UserDefined grp-18 rplc-27"/>
    <w:basedOn w:val="DefaultParagraphFont"/>
  </w:style>
  <w:style w:type="character" w:customStyle="1" w:styleId="cat-Addressgrp-2rplc-28">
    <w:name w:val="cat-Address grp-2 rplc-28"/>
    <w:basedOn w:val="DefaultParagraphFont"/>
  </w:style>
  <w:style w:type="character" w:customStyle="1" w:styleId="cat-FIOgrp-13rplc-30">
    <w:name w:val="cat-FIO grp-13 rplc-30"/>
    <w:basedOn w:val="DefaultParagraphFont"/>
  </w:style>
  <w:style w:type="character" w:customStyle="1" w:styleId="cat-FIOgrp-13rplc-31">
    <w:name w:val="cat-FIO grp-13 rplc-31"/>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msud.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